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rtl w:val="0"/>
        </w:rPr>
        <w:t xml:space="preserve">Lorem Ipsum</w:t>
      </w:r>
      <w:r w:rsidDel="00000000" w:rsidR="00000000" w:rsidRPr="00000000">
        <w:rPr>
          <w:rtl w:val="0"/>
        </w:rP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There are many variations of passages of Lorem Ipsum available, but the majority have suffered alteration in some form, by injected humour, or randomised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drawing>
          <wp:inline distB="114300" distT="114300" distL="114300" distR="114300">
            <wp:extent cx="3290888" cy="21939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290888" cy="219392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It uses a dictionary of over 200 Latin words, combined with a handful of model sentence structures, to generate Lorem Ipsum which looks reasonable. The generated Lorem Ipsum is therefore always free from repetition, injected humour, or non-characteristic words etc.</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